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709" w:leader="none"/>
        </w:tabs>
      </w:pPr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4"/>
        <w:jc w:val="both"/>
        <w:rPr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92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несении 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 в постановление правительства Еврейской автономной области от 23.07.2020 № 277-пп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осуществления деятельности по обращению  с 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ивотными без владельцев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24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правительства Еврейской автономной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23.07.2020 № 277-пп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осуществления деятельности по обращению с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ивотными без владельцев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Преамбулу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7"/>
        <w:ind w:left="0" w:right="0" w:firstLine="540"/>
        <w:jc w:val="both"/>
        <w:spacing w:before="0" w:after="0" w:line="240" w:lineRule="auto"/>
        <w:tabs>
          <w:tab w:val="left" w:pos="709" w:leader="none"/>
        </w:tabs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В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соответствии с пунктом 2 части 1 статьи 7, части 7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ссийской Федерации от 10.09.2019 № 1180 «Об утверждении методических указаний по осуществлению деятельности по обращению с животными без владельцев», законом Еврейской автономной области от 10.12.2019 № 500-ОЗ                                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«О некоторых вопросах реализации Федерального закона «Об ответственном обращении с животными и о внесении изменений в отдельные законодательные акты Российской Федерации» на территории Еврейской автономной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», законом Еврейской автономной области от 10.12.2019 № 501-ОЗ «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HYPERLINK "consultantplus://offline/ref=A3E72D32DD31EF0CAC7976E068EC7AD5CA1E17681A03D6B143AA2C3B39B6D19DE72700B6E8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5B9B0AC17E9E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C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A3D9AE010D3u1F" \h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наделении органов местного самоуправления муниципальных образований государственными полномочиями Еврейской автономной области в области обращения с животными без владельцев». 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u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color w:val="auto"/>
          <w:sz w:val="28"/>
          <w:u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осуществления деятельности по обращению с  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ивотными без владельцев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утвержденном вышеуказанным постановлением: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пункт 1.2.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center"/>
        <w:spacing w:line="240" w:lineRule="auto"/>
        <w:tabs>
          <w:tab w:val="left" w:pos="709" w:leader="none"/>
        </w:tabs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  <w:lang w:val="ru-RU"/>
        </w:rPr>
        <w:t xml:space="preserve">2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924"/>
        <w:ind w:left="0" w:right="0" w:firstLine="0"/>
        <w:jc w:val="center"/>
        <w:spacing w:line="240" w:lineRule="auto"/>
        <w:tabs>
          <w:tab w:val="left" w:pos="709" w:leader="none"/>
        </w:tabs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  <w:lang w:val="ru-RU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  <w:lang w:val="ru-RU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szCs w:val="24"/>
          <w:highlight w:val="none"/>
          <w:lang w:val="ru-RU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«1.2. Порядок разработан в соответствии с федеральным законом от 27.12.2018 № 498-ФЗ «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Об ответственном обращении с животными и о внесении изменений в отдельные законодательные акты Российской Федерации» (далее - федеральный закон № 498-ФЗ), законом Российской Федерации от 14.05.1993 № 4979-1 «О ветеринарии», постановлением правительства Ро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ссийской Федерации от 10.09.2019 № 1180 «Об утверждении методических указаний по осуществлению деятельности по обращению с животными без владельцев», законом Еврейской автономной области от 10.12.2019 № 500-ОЗ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«О некоторых вопросах реализации Федерального закона «Об ответственном обращении с животными и о внесении изменений в отдельные законодательные акты Российской Федерации» на территории Еврейской автономной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», законом Еврейской автономной области от 10.12.2019 № 501-ОЗ «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HYPERLINK "consultantplus://offline/ref=A3E72D32DD31EF0CAC7976E068EC7AD5CA1E17681A03D6B143AA2C3B39B6D19DE72700B6E8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5B9B0AC17E9E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C</w:instrText>
      </w:r>
      <w:r>
        <w:rPr>
          <w:rFonts w:ascii="Times New Roman" w:hAnsi="Times New Roman" w:cs="Times New Roman"/>
          <w:bCs/>
          <w:sz w:val="28"/>
          <w:szCs w:val="28"/>
        </w:rPr>
        <w:instrText xml:space="preserve">A3D9AE010D3u1F" \h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наделении органов местного самоуправления муниципальных образований государственными полномочиями Еврейской автономной области в области обращения с животными без владельцев»; 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1.3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«1.3.Основные понятия, используемые в настоящем Порядке, применяются в том же значении, что и в федеральном законе № 498-ФЗ, и в законе Еврейской автономной области от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10.12.2019 № 500-ОЗ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lang w:val="ru-RU"/>
        </w:rPr>
        <w:t xml:space="preserve">«О некоторых вопросах реализации Федерального закона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раздел 2 «Мероприятия при осуществлении деятельности по обращению с животными без владельцев» изложить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«Мероприятия при осуществлении деятельности по обращению с животными без владельцев, регулируемые настоящим Порядком, включают в себя: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отлов животных без владельцев, их транспортировка и передача в пункты временного содержания животных или приюты для животных (далее - места содержания животных) в зависимости от мест содержания животных, расположенных на территориях муниципальных районов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городского округа области;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2) проведение в местах содержания животных клинических осмотров поступивших животных без владельцев, определение их клинического состояния, установление признаков немотивированной агрессивности;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содержание отловленных животных без владельцев в местах содержания животных в течение 15 дней, возврат животных без владельцев, не проявляющих немотивированной агрессивности, которым не найдены новые владельцы, на прежние места их обитания после проведен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 мероприятий по вакцинации, стерилизации и нанесения соответствующих меток;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4) возврат потерявшихся животных их владельцам, поиск новых владельцев животным без владельцев, поступившим в места содержания животных;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5) организация утилизации биологических отходов, образовавшихся в результате деятельности по обращению с животными без владельцев;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6) организация мероприятий по умерщвлению отловленных животных без владельцев.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наименование раздела 3 «Отлов животных без владельцев, в том числе их транспортировка и немедленная передача в приюты для животных»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Отлов животных без владельцев, в том числе их транспортировка и немедленная передача в места содержания животных»;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в пункте 3.1 раздела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«Отлов животных без владельцев, в том числе их транспортировка и немедленная передача в приюты для животных» слова «приюта для животных» заменить словами «мест содержания животных»;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пункт 3.1 раздела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Отлов животных без владельцев, в том числе их транспортировка и немедленная передача в места содержания животных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«3.1.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Отлов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животных без владельцев, их транспортировк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до мест содержания животных и возврат на прежние места их обитания осуществляются юридическими лицами, индивидуальными предпринимателями и физическими лицами (далее - лицами осуществляющими отлов животных без владельцев), заключившими в соответствии с Фе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деральным законом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05.04.2013 № 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 «О закупках товаров, работ, услуг отдельными видами юридич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еских лиц» соответствующие контракты с органом местного самоуправления муниципального образования Еврейской автономной области (далее - орган местного самоуправления).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Отлов животных без владельцев осуществляется лицами, осуществляющими отлов животных без владельцев в соответствии с требованиями федерального закона  № 498-ФЗ, закона Еврейской автономной области  № 500-ОЗ и настоящего порядка.»;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-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 3.13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ленные животные без владельцев в срок, установленный пунктом 3.9 настоящего Порядка, после окончания транспортировки передаются 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места содержания животных на основании актов приема-передачи животных без владельцев по форме, утвержденной уполномоченным орган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ом. 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кт приема-передачи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животного без владельца составляется на каждое отловленное животное без владельца в двух экземплярах (один - для лиц осуществляющих отлов  животных без владельцев, второй - для владельцев мест содержания животных) и подписывается лицами, осуществляющими 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редачу животного без владельца в места содержания животных и прием животного без владельца в места содержания животных;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 пункт 3.14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24"/>
        <w:ind w:left="0" w:right="0" w:firstLine="709"/>
        <w:jc w:val="center"/>
        <w:spacing w:line="240" w:lineRule="auto"/>
        <w:rPr>
          <w:highlight w:val="none"/>
        </w:rPr>
      </w:pPr>
      <w:r>
        <w:rPr>
          <w:highlight w:val="none"/>
        </w:rPr>
        <w:t xml:space="preserve">4</w:t>
      </w:r>
      <w:r>
        <w:rPr>
          <w:highlight w:val="none"/>
        </w:rPr>
      </w:r>
    </w:p>
    <w:p>
      <w:pPr>
        <w:pStyle w:val="924"/>
        <w:ind w:left="0" w:right="0" w:firstLine="709"/>
        <w:jc w:val="center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«Лица, осуществляющие отлов животных без владельцев обязаны хранить акт приема-передачи животного без владельца в течение трех лет с момента передачи животного без владельца в место содержания  животного.</w:t>
      </w:r>
      <w: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пункт 3.15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проведения мероприятий в приютах для животных в соответствии с частью 7 статьи 16 Федерального закона № 498-ФЗ животные без владельцев, не проявляющие немотивированной агрессивности, подлежат возврату на прежние места их обитания.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ача животных без владельцев из приютов для животных осуществляется на основании актов приема-передачи животных без владельцев по форме, утвержденной уполномоченным органом. Акт приема-передачи животного без владельца составляется на каждое животное без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владел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ьца, подлежащее возврату на прежнее место обитания, в двух экземплярах (один - для Специализированной организации, второй - для владельцев приютов для животных) и подписывается лицами, осуществляющими передачу животного без владельца из места содержания жи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вотных и прием животного без владельца из приюта для  животных для возврата на прежнее место обитания.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по обращению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содержанию животных в пунктах временного содержания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животных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разделом 3 постановления правительства Еврейской автономной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25.12.2024 № 542-пп «Об утверждении Порядка организации деятельности пунктов временного содержания животных.»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пункт 3.16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Транспортировка животных без владельцев, подлежащих возврату на прежние места их обитания, осуществляется в соответствии с требованиями, указанными в пунктах 3.7 - 3.12 раздела 3 настоящего Порядка.</w:t>
      </w:r>
      <w:r/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Специал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изированная организация ведет учет количества животных без владельцев, отловленных и транспортированных в места содержания животных, подлежащих возврату на прежние места их обитания (далее - объем выполненных работ), в журнале по форме, утвержденной уполно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моченным органом, и передает сведения об объеме выполненных работ в орган местного самоуправления в течение одного рабочего дня со дня сдачи животных без владельцев в места содержания животных.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наименование раздела 4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Содержание животных без владельцев в приюте для животных,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возврат потерявшихся животных их владельцам, а также поиск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новых владельцев животным без владельцев, поступившим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приюты для животных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24"/>
        <w:ind w:left="0" w:righ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Содержание животных без владельцев в местах содержания  животных,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возврат потерявшихся животных их владельцам, а также поиск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новых владельцев животным без владельцев, поступившим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места содержания  животных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- пункт 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«4.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Содержание (в том числе лечен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ие, вакцинация, стерилизация) животных без владельцев в местах содержания животных, возврат потерявшихся животных их владельцам, а также поиск новых владельцев поступившим в места содержания животных животным без владельцев, размещение в местах содержания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естественной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смерти таких животных осуществляются в соответствии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 законом Еврейской автономной области № 500-ОЗ,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риказом Министерства сельского хозяйства Российской Федерации от 26.10.2020                    № 626 «Об утверждении Ветеринарных правил перемещения, хранения, переработки и утилизации биологических отходов», Приказом Министерства сельского 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зяйства Российской Федерации от 25.11.2020 № 705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пространения и ликвидацию очагов бешенства»,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пункт 5.2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5.2.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каждое отловленное животное без владельца, доставленное в места содержания животных, оформляется Карточка учета животного без владельца по форме, утвержденной уполномоченным органом, срок хранения которой составляет три года с момента окончания содержания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животного в месте содержания животных.».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- пункт 5.3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«5.3. Сведения о животных без владельцев заносятся в Журнал движения животных в местах содержания животных, который ведется в электронном виде и (или) на бумажном носителе по форме, утвержденной уполномоченным органом.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0"/>
        <w:jc w:val="both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6803" w:right="0" w:hanging="6803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803" w:right="0" w:hanging="680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409" w:right="0" w:hanging="2409"/>
        <w:spacing w:after="0" w:line="240" w:lineRule="auto"/>
        <w:tabs>
          <w:tab w:val="left" w:pos="68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>
        <w:rPr>
          <w:rFonts w:ascii="Times New Roman" w:hAnsi="Times New Roman"/>
          <w:sz w:val="28"/>
          <w:szCs w:val="28"/>
          <w:highlight w:val="none"/>
        </w:rPr>
        <w:t xml:space="preserve">обязанности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2409" w:right="0" w:hanging="2409"/>
        <w:spacing w:after="0" w:line="240" w:lineRule="auto"/>
        <w:tabs>
          <w:tab w:val="left" w:pos="680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председателя правительства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И.О. Чагаев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  <w:rPr>
        <w:color w:val="auto"/>
      </w:rPr>
    </w:pPr>
    <w:r>
      <w:rPr>
        <w:color w:val="auto"/>
      </w:rPr>
    </w:r>
    <w:r>
      <w:rPr>
        <w:rFonts w:ascii="Calibri" w:hAnsi="Calibri" w:eastAsia="Calibri" w:cs="Calibri"/>
        <w:color w:val="auto"/>
        <w:sz w:val="20"/>
        <w:szCs w:val="20"/>
      </w:rPr>
      <w:t xml:space="preserve">Морозова/2025-</w:t>
    </w:r>
    <w:r>
      <w:rPr>
        <w:rFonts w:ascii="Calibri" w:hAnsi="Calibri" w:eastAsia="Calibri" w:cs="Calibri"/>
        <w:color w:val="auto"/>
        <w:sz w:val="20"/>
        <w:szCs w:val="20"/>
        <w:highlight w:val="white"/>
      </w:rPr>
      <w:t xml:space="preserve">73-пп-ДВЕТ </w:t>
    </w:r>
    <w:r>
      <w:rPr>
        <w:rFonts w:ascii="Calibri" w:hAnsi="Calibri" w:eastAsia="Calibri" w:cs="Calibri"/>
        <w:color w:val="auto"/>
        <w:sz w:val="20"/>
        <w:szCs w:val="20"/>
      </w:rPr>
      <w:t xml:space="preserve">(1)</w:t>
    </w:r>
    <w:r>
      <w:rPr>
        <w:color w:val="auto"/>
      </w:rPr>
    </w:r>
    <w:r>
      <w:rPr>
        <w:color w:val="auto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  <w:rPr>
        <w:color w:val="auto"/>
      </w:rPr>
    </w:pPr>
    <w:r>
      <w:rPr>
        <w:color w:val="auto"/>
      </w:rPr>
    </w:r>
    <w:r>
      <w:rPr>
        <w:rFonts w:ascii="Calibri" w:hAnsi="Calibri" w:eastAsia="Calibri" w:cs="Calibri"/>
        <w:color w:val="auto"/>
        <w:sz w:val="20"/>
        <w:szCs w:val="20"/>
      </w:rPr>
      <w:t xml:space="preserve">Морозова/2025-</w:t>
    </w:r>
    <w:r>
      <w:rPr>
        <w:rFonts w:ascii="Calibri" w:hAnsi="Calibri" w:eastAsia="Calibri" w:cs="Calibri"/>
        <w:color w:val="auto"/>
        <w:sz w:val="20"/>
        <w:szCs w:val="20"/>
        <w:highlight w:val="white"/>
      </w:rPr>
      <w:t xml:space="preserve">73-пп-ДВЕТ </w:t>
    </w:r>
    <w:r>
      <w:rPr>
        <w:rFonts w:ascii="Calibri" w:hAnsi="Calibri" w:eastAsia="Calibri" w:cs="Calibri"/>
        <w:color w:val="auto"/>
        <w:sz w:val="20"/>
        <w:szCs w:val="20"/>
      </w:rPr>
      <w:t xml:space="preserve">(1)</w:t>
    </w:r>
    <w:r>
      <w:rPr>
        <w:color w:val="auto"/>
      </w:rPr>
    </w:r>
    <w:r>
      <w:rPr>
        <w:color w:val="auto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Fonts w:ascii="Calibri" w:hAnsi="Calibri" w:cs="Calibri"/>
        <w:color w:val="auto"/>
        <w:sz w:val="20"/>
        <w:szCs w:val="20"/>
      </w:rPr>
    </w:pPr>
    <w:r>
      <w:t xml:space="preserve">                                                                                                     </w:t>
    </w:r>
    <w:r>
      <w:rPr>
        <w:rFonts w:ascii="Calibri" w:hAnsi="Calibri" w:eastAsia="Calibri" w:cs="Calibri"/>
        <w:color w:val="auto"/>
        <w:sz w:val="20"/>
        <w:szCs w:val="20"/>
      </w:rPr>
      <w:t xml:space="preserve">Морозова/2025-</w:t>
    </w:r>
    <w:r>
      <w:rPr>
        <w:rFonts w:ascii="Calibri" w:hAnsi="Calibri" w:eastAsia="Calibri" w:cs="Calibri"/>
        <w:color w:val="auto"/>
        <w:sz w:val="20"/>
        <w:szCs w:val="20"/>
        <w:highlight w:val="white"/>
      </w:rPr>
      <w:t xml:space="preserve">73-пп-ДВЕТ </w:t>
    </w:r>
    <w:r>
      <w:rPr>
        <w:rFonts w:ascii="Calibri" w:hAnsi="Calibri" w:eastAsia="Calibri" w:cs="Calibri"/>
        <w:color w:val="auto"/>
        <w:sz w:val="20"/>
        <w:szCs w:val="20"/>
      </w:rPr>
      <w:t xml:space="preserve">(1)</w:t>
    </w:r>
    <w:r>
      <w:rPr>
        <w:rFonts w:ascii="Calibri" w:hAnsi="Calibri" w:cs="Calibri"/>
        <w:color w:val="auto"/>
        <w:sz w:val="20"/>
        <w:szCs w:val="20"/>
      </w:rPr>
    </w:r>
    <w:r>
      <w:rPr>
        <w:rFonts w:ascii="Calibri" w:hAnsi="Calibri" w:cs="Calibri"/>
        <w:color w:val="auto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fldSimple w:instr="PAGE \* MERGEFORMAT">
      <w:r>
        <w:t xml:space="preserve">1</w:t>
      </w:r>
    </w:fldSimple>
    <w:r/>
    <w:r/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/>
    <w:r/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21"/>
    <w:next w:val="921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>
    <w:name w:val="Heading 1 Char"/>
    <w:link w:val="745"/>
    <w:uiPriority w:val="9"/>
    <w:rPr>
      <w:rFonts w:ascii="Arial" w:hAnsi="Arial" w:eastAsia="Arial" w:cs="Arial"/>
      <w:sz w:val="40"/>
      <w:szCs w:val="40"/>
    </w:rPr>
  </w:style>
  <w:style w:type="paragraph" w:styleId="747">
    <w:name w:val="Heading 2"/>
    <w:basedOn w:val="921"/>
    <w:next w:val="921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>
    <w:name w:val="Heading 2 Char"/>
    <w:link w:val="747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21"/>
    <w:next w:val="921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21"/>
    <w:next w:val="921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21"/>
    <w:next w:val="921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21"/>
    <w:next w:val="921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21"/>
    <w:next w:val="921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21"/>
    <w:next w:val="921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21"/>
    <w:next w:val="92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921"/>
    <w:next w:val="921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link w:val="763"/>
    <w:uiPriority w:val="10"/>
    <w:rPr>
      <w:sz w:val="48"/>
      <w:szCs w:val="48"/>
    </w:rPr>
  </w:style>
  <w:style w:type="paragraph" w:styleId="765">
    <w:name w:val="Subtitle"/>
    <w:basedOn w:val="921"/>
    <w:next w:val="921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link w:val="765"/>
    <w:uiPriority w:val="11"/>
    <w:rPr>
      <w:sz w:val="24"/>
      <w:szCs w:val="24"/>
    </w:rPr>
  </w:style>
  <w:style w:type="paragraph" w:styleId="767">
    <w:name w:val="Quote"/>
    <w:basedOn w:val="921"/>
    <w:next w:val="921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21"/>
    <w:next w:val="921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paragraph" w:styleId="771">
    <w:name w:val="Header"/>
    <w:basedOn w:val="921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Header Char"/>
    <w:link w:val="771"/>
    <w:uiPriority w:val="99"/>
  </w:style>
  <w:style w:type="paragraph" w:styleId="773">
    <w:name w:val="Footer"/>
    <w:basedOn w:val="921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>
    <w:name w:val="Footer Char"/>
    <w:link w:val="773"/>
    <w:uiPriority w:val="99"/>
  </w:style>
  <w:style w:type="paragraph" w:styleId="775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773"/>
    <w:uiPriority w:val="99"/>
  </w:style>
  <w:style w:type="table" w:styleId="777">
    <w:name w:val="Table Grid"/>
    <w:basedOn w:val="9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7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8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9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0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1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2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4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8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paragraph" w:styleId="924">
    <w:name w:val="No Spacing"/>
    <w:basedOn w:val="921"/>
    <w:uiPriority w:val="1"/>
    <w:qFormat/>
    <w:pPr>
      <w:spacing w:after="0" w:line="240" w:lineRule="auto"/>
    </w:pPr>
  </w:style>
  <w:style w:type="paragraph" w:styleId="925">
    <w:name w:val="List Paragraph"/>
    <w:basedOn w:val="921"/>
    <w:uiPriority w:val="34"/>
    <w:qFormat/>
    <w:pPr>
      <w:contextualSpacing/>
      <w:ind w:left="720"/>
    </w:pPr>
  </w:style>
  <w:style w:type="character" w:styleId="926" w:default="1">
    <w:name w:val="Default Paragraph Font"/>
    <w:uiPriority w:val="1"/>
    <w:semiHidden/>
    <w:unhideWhenUsed/>
  </w:style>
  <w:style w:type="paragraph" w:styleId="92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61</cp:revision>
  <dcterms:modified xsi:type="dcterms:W3CDTF">2025-01-30T06:56:58Z</dcterms:modified>
</cp:coreProperties>
</file>